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79C2" w14:textId="3FD6A5B2" w:rsidR="00097F6F" w:rsidRPr="00FE4FD6" w:rsidRDefault="00097F6F" w:rsidP="00A202F0">
      <w:pPr>
        <w:jc w:val="center"/>
        <w:rPr>
          <w:rFonts w:cs="Arial"/>
          <w:b/>
          <w:sz w:val="22"/>
          <w:szCs w:val="22"/>
        </w:rPr>
      </w:pPr>
      <w:r w:rsidRPr="00FE4FD6">
        <w:rPr>
          <w:rFonts w:cs="Arial"/>
          <w:b/>
          <w:sz w:val="22"/>
          <w:szCs w:val="22"/>
        </w:rPr>
        <w:t>AMES TRANSIT AGENCY</w:t>
      </w:r>
      <w:r w:rsidR="00051A6E">
        <w:rPr>
          <w:rFonts w:cs="Arial"/>
          <w:b/>
          <w:sz w:val="22"/>
          <w:szCs w:val="22"/>
        </w:rPr>
        <w:t xml:space="preserve"> (CYRIDE)</w:t>
      </w:r>
    </w:p>
    <w:p w14:paraId="1E46E4D4" w14:textId="612F5BE3" w:rsidR="00E32741" w:rsidRPr="00FE4FD6" w:rsidRDefault="00D101E7" w:rsidP="00A202F0">
      <w:pPr>
        <w:jc w:val="center"/>
        <w:rPr>
          <w:rFonts w:cs="Arial"/>
          <w:b/>
          <w:sz w:val="22"/>
          <w:szCs w:val="22"/>
        </w:rPr>
      </w:pPr>
      <w:r w:rsidRPr="00FE4FD6">
        <w:rPr>
          <w:rFonts w:cs="Arial"/>
          <w:b/>
          <w:sz w:val="22"/>
          <w:szCs w:val="22"/>
        </w:rPr>
        <w:t>F</w:t>
      </w:r>
      <w:r w:rsidR="008910E7" w:rsidRPr="00FE4FD6">
        <w:rPr>
          <w:rFonts w:cs="Arial"/>
          <w:b/>
          <w:sz w:val="22"/>
          <w:szCs w:val="22"/>
        </w:rPr>
        <w:t>F</w:t>
      </w:r>
      <w:r w:rsidRPr="00FE4FD6">
        <w:rPr>
          <w:rFonts w:cs="Arial"/>
          <w:b/>
          <w:sz w:val="22"/>
          <w:szCs w:val="22"/>
        </w:rPr>
        <w:t>Y20</w:t>
      </w:r>
      <w:r w:rsidR="0082488D">
        <w:rPr>
          <w:rFonts w:cs="Arial"/>
          <w:b/>
          <w:sz w:val="22"/>
          <w:szCs w:val="22"/>
        </w:rPr>
        <w:t>2</w:t>
      </w:r>
      <w:r w:rsidR="005D2614">
        <w:rPr>
          <w:rFonts w:cs="Arial"/>
          <w:b/>
          <w:sz w:val="22"/>
          <w:szCs w:val="22"/>
        </w:rPr>
        <w:t>3</w:t>
      </w:r>
      <w:r w:rsidR="00E32741" w:rsidRPr="00FE4FD6">
        <w:rPr>
          <w:rFonts w:cs="Arial"/>
          <w:b/>
          <w:sz w:val="22"/>
          <w:szCs w:val="22"/>
        </w:rPr>
        <w:t xml:space="preserve"> PROGRAM OF PROJECTS</w:t>
      </w:r>
    </w:p>
    <w:p w14:paraId="41FA6797" w14:textId="77777777" w:rsidR="00944C6B" w:rsidRPr="00FE4FD6" w:rsidRDefault="00944C6B" w:rsidP="00A202F0">
      <w:pPr>
        <w:tabs>
          <w:tab w:val="left" w:pos="360"/>
          <w:tab w:val="center" w:pos="5040"/>
          <w:tab w:val="right" w:pos="9180"/>
        </w:tabs>
        <w:rPr>
          <w:rFonts w:cs="Arial"/>
          <w:sz w:val="22"/>
          <w:szCs w:val="22"/>
        </w:rPr>
      </w:pPr>
    </w:p>
    <w:p w14:paraId="56438FAC" w14:textId="043EACCC" w:rsidR="002F6A64" w:rsidRPr="00274775" w:rsidRDefault="002166C0" w:rsidP="002F6A64">
      <w:pPr>
        <w:pStyle w:val="NormalWeb"/>
        <w:rPr>
          <w:rFonts w:ascii="Arial" w:hAnsi="Arial" w:cs="Arial"/>
          <w:sz w:val="22"/>
          <w:szCs w:val="22"/>
        </w:rPr>
      </w:pPr>
      <w:r w:rsidRPr="00FE4FD6">
        <w:rPr>
          <w:rFonts w:ascii="Arial" w:hAnsi="Arial" w:cs="Arial"/>
          <w:sz w:val="22"/>
          <w:szCs w:val="22"/>
        </w:rPr>
        <w:t xml:space="preserve">Under 49 U.S. C 5307(b) and as a direct recipient of FTA Section 5307 funding, the Ames Transit Agency (CyRide) shall </w:t>
      </w:r>
      <w:r w:rsidRPr="00274775">
        <w:rPr>
          <w:rFonts w:ascii="Arial" w:hAnsi="Arial" w:cs="Arial"/>
          <w:sz w:val="22"/>
          <w:szCs w:val="22"/>
        </w:rPr>
        <w:t xml:space="preserve">annually develop Program of Projects </w:t>
      </w:r>
      <w:r w:rsidR="009E6F61" w:rsidRPr="00274775">
        <w:rPr>
          <w:rFonts w:ascii="Arial" w:hAnsi="Arial" w:cs="Arial"/>
          <w:sz w:val="22"/>
          <w:szCs w:val="22"/>
        </w:rPr>
        <w:t xml:space="preserve">(POP) </w:t>
      </w:r>
      <w:r w:rsidRPr="00274775">
        <w:rPr>
          <w:rFonts w:ascii="Arial" w:hAnsi="Arial" w:cs="Arial"/>
          <w:sz w:val="22"/>
          <w:szCs w:val="22"/>
        </w:rPr>
        <w:t>and make it available for public review detailing the project purpose</w:t>
      </w:r>
      <w:r w:rsidR="007476E2" w:rsidRPr="00274775">
        <w:rPr>
          <w:rFonts w:ascii="Arial" w:hAnsi="Arial" w:cs="Arial"/>
          <w:sz w:val="22"/>
          <w:szCs w:val="22"/>
        </w:rPr>
        <w:t xml:space="preserve"> and the </w:t>
      </w:r>
      <w:r w:rsidRPr="00274775">
        <w:rPr>
          <w:rFonts w:ascii="Arial" w:hAnsi="Arial" w:cs="Arial"/>
          <w:sz w:val="22"/>
          <w:szCs w:val="22"/>
        </w:rPr>
        <w:t>funding requested</w:t>
      </w:r>
      <w:r w:rsidR="007476E2" w:rsidRPr="00274775">
        <w:rPr>
          <w:rFonts w:ascii="Arial" w:hAnsi="Arial" w:cs="Arial"/>
          <w:sz w:val="22"/>
          <w:szCs w:val="22"/>
        </w:rPr>
        <w:t xml:space="preserve">.  </w:t>
      </w:r>
      <w:r w:rsidRPr="00274775">
        <w:rPr>
          <w:rFonts w:ascii="Arial" w:hAnsi="Arial" w:cs="Arial"/>
          <w:sz w:val="22"/>
          <w:szCs w:val="22"/>
        </w:rPr>
        <w:t xml:space="preserve">The proposed program of projects has been developed in consultation with interested parties, including private transportation providers and human service </w:t>
      </w:r>
      <w:r w:rsidR="007476E2" w:rsidRPr="00274775">
        <w:rPr>
          <w:rFonts w:ascii="Arial" w:hAnsi="Arial" w:cs="Arial"/>
          <w:sz w:val="22"/>
          <w:szCs w:val="22"/>
        </w:rPr>
        <w:t>organizations</w:t>
      </w:r>
      <w:r w:rsidRPr="00274775">
        <w:rPr>
          <w:rFonts w:ascii="Arial" w:hAnsi="Arial" w:cs="Arial"/>
          <w:sz w:val="22"/>
          <w:szCs w:val="22"/>
        </w:rPr>
        <w:t xml:space="preserve">. </w:t>
      </w:r>
    </w:p>
    <w:p w14:paraId="52BA0F9C" w14:textId="4C5FA2AE" w:rsidR="004E3BE2" w:rsidRPr="00274775" w:rsidRDefault="004E3BE2" w:rsidP="00097F6F">
      <w:pPr>
        <w:pStyle w:val="Heading4"/>
        <w:rPr>
          <w:rFonts w:ascii="Arial" w:hAnsi="Arial" w:cs="Arial"/>
          <w:b w:val="0"/>
          <w:bCs w:val="0"/>
          <w:sz w:val="22"/>
          <w:szCs w:val="22"/>
        </w:rPr>
      </w:pPr>
      <w:r w:rsidRPr="00274775">
        <w:rPr>
          <w:rFonts w:ascii="Arial" w:hAnsi="Arial" w:cs="Arial"/>
          <w:b w:val="0"/>
          <w:bCs w:val="0"/>
          <w:sz w:val="22"/>
          <w:szCs w:val="22"/>
        </w:rPr>
        <w:t>This POP</w:t>
      </w:r>
      <w:r w:rsidR="002166C0" w:rsidRPr="0027477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F6A64" w:rsidRPr="00274775">
        <w:rPr>
          <w:rFonts w:ascii="Arial" w:hAnsi="Arial" w:cs="Arial"/>
          <w:b w:val="0"/>
          <w:bCs w:val="0"/>
          <w:sz w:val="22"/>
          <w:szCs w:val="22"/>
        </w:rPr>
        <w:t xml:space="preserve">below </w:t>
      </w:r>
      <w:r w:rsidR="002166C0" w:rsidRPr="00274775">
        <w:rPr>
          <w:rFonts w:ascii="Arial" w:hAnsi="Arial" w:cs="Arial"/>
          <w:b w:val="0"/>
          <w:bCs w:val="0"/>
          <w:sz w:val="22"/>
          <w:szCs w:val="22"/>
        </w:rPr>
        <w:t xml:space="preserve">details </w:t>
      </w:r>
      <w:r w:rsidRPr="00274775">
        <w:rPr>
          <w:rFonts w:ascii="Arial" w:hAnsi="Arial" w:cs="Arial"/>
          <w:b w:val="0"/>
          <w:bCs w:val="0"/>
          <w:sz w:val="22"/>
          <w:szCs w:val="22"/>
        </w:rPr>
        <w:t>the sub-allocation of Iowa’s FFY20</w:t>
      </w:r>
      <w:r w:rsidR="0082488D" w:rsidRPr="00274775">
        <w:rPr>
          <w:rFonts w:ascii="Arial" w:hAnsi="Arial" w:cs="Arial"/>
          <w:b w:val="0"/>
          <w:bCs w:val="0"/>
          <w:sz w:val="22"/>
          <w:szCs w:val="22"/>
        </w:rPr>
        <w:t>2</w:t>
      </w:r>
      <w:r w:rsidR="005D2614" w:rsidRPr="00274775">
        <w:rPr>
          <w:rFonts w:ascii="Arial" w:hAnsi="Arial" w:cs="Arial"/>
          <w:b w:val="0"/>
          <w:bCs w:val="0"/>
          <w:sz w:val="22"/>
          <w:szCs w:val="22"/>
        </w:rPr>
        <w:t>2</w:t>
      </w:r>
      <w:r w:rsidR="0082488D" w:rsidRPr="0027477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74775">
        <w:rPr>
          <w:rFonts w:ascii="Arial" w:hAnsi="Arial" w:cs="Arial"/>
          <w:b w:val="0"/>
          <w:bCs w:val="0"/>
          <w:sz w:val="22"/>
          <w:szCs w:val="22"/>
        </w:rPr>
        <w:t>Statewide Apportionment of 5307 funds to Ames which may be used for operating support or for capital projects at CyRide’s discretio</w:t>
      </w:r>
      <w:r w:rsidR="009E6F61" w:rsidRPr="00274775">
        <w:rPr>
          <w:rFonts w:ascii="Arial" w:hAnsi="Arial" w:cs="Arial"/>
          <w:b w:val="0"/>
          <w:bCs w:val="0"/>
          <w:sz w:val="22"/>
          <w:szCs w:val="22"/>
        </w:rPr>
        <w:t>n</w:t>
      </w:r>
      <w:r w:rsidRPr="00274775">
        <w:rPr>
          <w:rFonts w:ascii="Arial" w:hAnsi="Arial" w:cs="Arial"/>
          <w:b w:val="0"/>
          <w:bCs w:val="0"/>
          <w:sz w:val="22"/>
          <w:szCs w:val="22"/>
        </w:rPr>
        <w:t>.</w:t>
      </w:r>
      <w:r w:rsidR="00FE4FD6" w:rsidRPr="0027477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51A6E">
        <w:rPr>
          <w:rFonts w:ascii="Arial" w:hAnsi="Arial" w:cs="Arial"/>
          <w:b w:val="0"/>
          <w:sz w:val="22"/>
          <w:szCs w:val="22"/>
        </w:rPr>
        <w:t>In addition to Section 5307</w:t>
      </w:r>
      <w:r w:rsidR="009E6F61" w:rsidRPr="00274775">
        <w:rPr>
          <w:rFonts w:ascii="Arial" w:hAnsi="Arial" w:cs="Arial"/>
          <w:b w:val="0"/>
          <w:sz w:val="22"/>
          <w:szCs w:val="22"/>
        </w:rPr>
        <w:t xml:space="preserve">, CyRide will be requesting federal funding from the Federal Transit Administration (FTA) for </w:t>
      </w:r>
      <w:r w:rsidR="00051A6E">
        <w:rPr>
          <w:rFonts w:ascii="Arial" w:hAnsi="Arial" w:cs="Arial"/>
          <w:b w:val="0"/>
          <w:sz w:val="22"/>
          <w:szCs w:val="22"/>
        </w:rPr>
        <w:t xml:space="preserve">FY2023 </w:t>
      </w:r>
      <w:r w:rsidR="009E6F61" w:rsidRPr="00274775">
        <w:rPr>
          <w:rFonts w:ascii="Arial" w:hAnsi="Arial" w:cs="Arial"/>
          <w:b w:val="0"/>
          <w:sz w:val="22"/>
          <w:szCs w:val="22"/>
        </w:rPr>
        <w:t xml:space="preserve">Surface Development Block Grant (STBG) flexible funding and </w:t>
      </w:r>
      <w:r w:rsidR="00051A6E">
        <w:rPr>
          <w:rFonts w:ascii="Arial" w:hAnsi="Arial" w:cs="Arial"/>
          <w:b w:val="0"/>
          <w:sz w:val="22"/>
          <w:szCs w:val="22"/>
        </w:rPr>
        <w:t xml:space="preserve">FY2021 </w:t>
      </w:r>
      <w:r w:rsidR="009E6F61" w:rsidRPr="00274775">
        <w:rPr>
          <w:rFonts w:ascii="Arial" w:hAnsi="Arial" w:cs="Arial"/>
          <w:b w:val="0"/>
          <w:sz w:val="22"/>
          <w:szCs w:val="22"/>
        </w:rPr>
        <w:t xml:space="preserve">Section 5339 Discretionary Funds which will be used to cover </w:t>
      </w:r>
      <w:r w:rsidR="00051A6E">
        <w:rPr>
          <w:rFonts w:ascii="Arial" w:hAnsi="Arial" w:cs="Arial"/>
          <w:b w:val="0"/>
          <w:sz w:val="22"/>
          <w:szCs w:val="22"/>
        </w:rPr>
        <w:t xml:space="preserve">the following </w:t>
      </w:r>
      <w:r w:rsidR="009E6F61" w:rsidRPr="00274775">
        <w:rPr>
          <w:rFonts w:ascii="Arial" w:hAnsi="Arial" w:cs="Arial"/>
          <w:b w:val="0"/>
          <w:sz w:val="22"/>
          <w:szCs w:val="22"/>
        </w:rPr>
        <w:t>projects listed in CyRide’s FFY 2023 POP</w:t>
      </w:r>
      <w:r w:rsidR="00051A6E">
        <w:rPr>
          <w:rFonts w:ascii="Arial" w:hAnsi="Arial" w:cs="Arial"/>
          <w:b w:val="0"/>
          <w:sz w:val="22"/>
          <w:szCs w:val="22"/>
        </w:rPr>
        <w:t>:</w:t>
      </w:r>
    </w:p>
    <w:p w14:paraId="443D461B" w14:textId="77777777" w:rsidR="00097F6F" w:rsidRPr="00274775" w:rsidRDefault="00097F6F" w:rsidP="00097F6F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1"/>
        <w:gridCol w:w="1024"/>
        <w:gridCol w:w="1338"/>
        <w:gridCol w:w="1338"/>
        <w:gridCol w:w="1349"/>
      </w:tblGrid>
      <w:tr w:rsidR="00051A6E" w:rsidRPr="00274775" w14:paraId="29BFE1CB" w14:textId="77777777" w:rsidTr="00F303D5">
        <w:tc>
          <w:tcPr>
            <w:tcW w:w="4301" w:type="dxa"/>
            <w:tcBorders>
              <w:bottom w:val="single" w:sz="4" w:space="0" w:color="auto"/>
            </w:tcBorders>
          </w:tcPr>
          <w:p w14:paraId="55315CFD" w14:textId="26C866EC" w:rsidR="00051A6E" w:rsidRPr="00274775" w:rsidRDefault="00B85DCD" w:rsidP="004E6550">
            <w:pPr>
              <w:tabs>
                <w:tab w:val="center" w:pos="46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FY2022 </w:t>
            </w:r>
            <w:r w:rsidR="00051A6E" w:rsidRPr="00274775">
              <w:rPr>
                <w:rFonts w:cs="Arial"/>
                <w:b/>
                <w:bCs/>
                <w:sz w:val="22"/>
                <w:szCs w:val="22"/>
              </w:rPr>
              <w:t>Section 5307 Urbanized Apportionment Formula Funding</w:t>
            </w:r>
          </w:p>
          <w:p w14:paraId="50886689" w14:textId="61C92C73" w:rsidR="00051A6E" w:rsidRPr="00274775" w:rsidRDefault="00051A6E" w:rsidP="00A202F0">
            <w:pPr>
              <w:tabs>
                <w:tab w:val="center" w:pos="468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1E8448D6" w14:textId="524CF56C" w:rsidR="00051A6E" w:rsidRPr="00274775" w:rsidRDefault="00051A6E" w:rsidP="004E6550">
            <w:pPr>
              <w:tabs>
                <w:tab w:val="center" w:pos="468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>Percent Federal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7043B24A" w14:textId="1ED64E3D" w:rsidR="00051A6E" w:rsidRPr="00274775" w:rsidRDefault="00051A6E" w:rsidP="00A202F0">
            <w:pPr>
              <w:tabs>
                <w:tab w:val="center" w:pos="468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>Federal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701BAEE0" w14:textId="0251DA5A" w:rsidR="00051A6E" w:rsidRPr="00274775" w:rsidRDefault="00051A6E" w:rsidP="00A202F0">
            <w:pPr>
              <w:tabs>
                <w:tab w:val="center" w:pos="468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>Local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110BA16" w14:textId="06E3A7AB" w:rsidR="00051A6E" w:rsidRPr="00274775" w:rsidRDefault="00051A6E" w:rsidP="00A202F0">
            <w:pPr>
              <w:tabs>
                <w:tab w:val="center" w:pos="468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51A6E" w:rsidRPr="00274775" w14:paraId="7025261D" w14:textId="77777777" w:rsidTr="004F095C">
        <w:tc>
          <w:tcPr>
            <w:tcW w:w="4301" w:type="dxa"/>
            <w:tcBorders>
              <w:bottom w:val="single" w:sz="4" w:space="0" w:color="auto"/>
            </w:tcBorders>
          </w:tcPr>
          <w:p w14:paraId="4BA0B484" w14:textId="77777777" w:rsidR="00051A6E" w:rsidRPr="00274775" w:rsidRDefault="00051A6E" w:rsidP="0082488D">
            <w:pPr>
              <w:tabs>
                <w:tab w:val="center" w:pos="4680"/>
              </w:tabs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General Operating Assistance</w:t>
            </w:r>
          </w:p>
          <w:p w14:paraId="737800AF" w14:textId="4D8687D6" w:rsidR="00051A6E" w:rsidRPr="00274775" w:rsidRDefault="00051A6E" w:rsidP="0082488D">
            <w:pPr>
              <w:tabs>
                <w:tab w:val="center" w:pos="468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7AC2DF29" w14:textId="71291412" w:rsidR="00051A6E" w:rsidRPr="00274775" w:rsidRDefault="00051A6E" w:rsidP="004E6550">
            <w:pPr>
              <w:tabs>
                <w:tab w:val="center" w:pos="4680"/>
              </w:tabs>
              <w:jc w:val="center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50%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6B1C8A45" w14:textId="53EB08F1" w:rsidR="00051A6E" w:rsidRPr="00274775" w:rsidRDefault="00051A6E" w:rsidP="004E6550">
            <w:pPr>
              <w:tabs>
                <w:tab w:val="center" w:pos="4680"/>
              </w:tabs>
              <w:jc w:val="right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$4,135,821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40F15C4F" w14:textId="388B6296" w:rsidR="00051A6E" w:rsidRPr="00274775" w:rsidRDefault="00051A6E" w:rsidP="004E6550">
            <w:pPr>
              <w:tabs>
                <w:tab w:val="center" w:pos="4680"/>
              </w:tabs>
              <w:jc w:val="right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$4,135,821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066F1FD7" w14:textId="2EC24684" w:rsidR="00051A6E" w:rsidRPr="00274775" w:rsidRDefault="00051A6E" w:rsidP="004E6550">
            <w:pPr>
              <w:tabs>
                <w:tab w:val="center" w:pos="4680"/>
              </w:tabs>
              <w:jc w:val="right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$8,271,642</w:t>
            </w:r>
          </w:p>
        </w:tc>
      </w:tr>
      <w:tr w:rsidR="004E6550" w:rsidRPr="00274775" w14:paraId="5E9945E3" w14:textId="77777777" w:rsidTr="00B64956">
        <w:tc>
          <w:tcPr>
            <w:tcW w:w="53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1CF46" w14:textId="39630772" w:rsidR="004E6550" w:rsidRPr="00274775" w:rsidRDefault="004E6550" w:rsidP="004E6550">
            <w:pPr>
              <w:tabs>
                <w:tab w:val="center" w:pos="4680"/>
              </w:tabs>
              <w:rPr>
                <w:rFonts w:cs="Arial"/>
                <w:b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 xml:space="preserve">Section 5307 </w:t>
            </w:r>
            <w:r w:rsidR="00051A6E">
              <w:rPr>
                <w:rFonts w:cs="Arial"/>
                <w:b/>
                <w:bCs/>
                <w:sz w:val="22"/>
                <w:szCs w:val="22"/>
              </w:rPr>
              <w:t xml:space="preserve">Formula </w:t>
            </w:r>
            <w:r w:rsidRPr="00274775">
              <w:rPr>
                <w:rFonts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D88E2" w14:textId="400BA7D1" w:rsidR="004E6550" w:rsidRPr="00274775" w:rsidRDefault="004E6550" w:rsidP="004E6550">
            <w:pPr>
              <w:tabs>
                <w:tab w:val="center" w:pos="468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sz w:val="22"/>
                <w:szCs w:val="22"/>
              </w:rPr>
              <w:t>$4,135,821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93345" w14:textId="1CA18F58" w:rsidR="004E6550" w:rsidRPr="00274775" w:rsidRDefault="004E6550" w:rsidP="004E6550">
            <w:pPr>
              <w:tabs>
                <w:tab w:val="center" w:pos="468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sz w:val="22"/>
                <w:szCs w:val="22"/>
              </w:rPr>
              <w:t>$4,135,821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0D0DB" w14:textId="6ED0D31D" w:rsidR="004E6550" w:rsidRPr="00274775" w:rsidRDefault="004E6550" w:rsidP="004E6550">
            <w:pPr>
              <w:tabs>
                <w:tab w:val="center" w:pos="468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>$8,271,642</w:t>
            </w:r>
          </w:p>
        </w:tc>
      </w:tr>
    </w:tbl>
    <w:p w14:paraId="564AABB1" w14:textId="424F376A" w:rsidR="003A7B94" w:rsidRPr="00274775" w:rsidRDefault="003A7B94" w:rsidP="00A202F0">
      <w:pPr>
        <w:tabs>
          <w:tab w:val="center" w:pos="4680"/>
        </w:tabs>
        <w:jc w:val="both"/>
        <w:rPr>
          <w:rFonts w:cs="Arial"/>
          <w:sz w:val="22"/>
          <w:szCs w:val="22"/>
        </w:rPr>
      </w:pPr>
    </w:p>
    <w:p w14:paraId="740DBCF7" w14:textId="3A43F095" w:rsidR="009D40F7" w:rsidRPr="00274775" w:rsidRDefault="009D40F7" w:rsidP="00A202F0">
      <w:pPr>
        <w:tabs>
          <w:tab w:val="center" w:pos="4680"/>
        </w:tabs>
        <w:jc w:val="both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7"/>
        <w:gridCol w:w="1024"/>
        <w:gridCol w:w="1328"/>
        <w:gridCol w:w="1322"/>
        <w:gridCol w:w="1339"/>
      </w:tblGrid>
      <w:tr w:rsidR="00051A6E" w:rsidRPr="00274775" w14:paraId="16FC8220" w14:textId="77777777" w:rsidTr="009E3B05">
        <w:tc>
          <w:tcPr>
            <w:tcW w:w="4337" w:type="dxa"/>
          </w:tcPr>
          <w:p w14:paraId="71716315" w14:textId="3A7175E7" w:rsidR="00051A6E" w:rsidRPr="00274775" w:rsidRDefault="00B85DCD" w:rsidP="00051A6E">
            <w:pPr>
              <w:tabs>
                <w:tab w:val="center" w:pos="46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FFY2023 </w:t>
            </w:r>
            <w:r w:rsidR="00051A6E" w:rsidRPr="00274775">
              <w:rPr>
                <w:rFonts w:cs="Arial"/>
                <w:b/>
                <w:sz w:val="22"/>
                <w:szCs w:val="22"/>
              </w:rPr>
              <w:t xml:space="preserve">STBG Flex Funding </w:t>
            </w:r>
          </w:p>
        </w:tc>
        <w:tc>
          <w:tcPr>
            <w:tcW w:w="1024" w:type="dxa"/>
          </w:tcPr>
          <w:p w14:paraId="25F3090D" w14:textId="77777777" w:rsidR="00051A6E" w:rsidRPr="00274775" w:rsidRDefault="00051A6E" w:rsidP="004E6550">
            <w:pPr>
              <w:tabs>
                <w:tab w:val="center" w:pos="4680"/>
              </w:tabs>
              <w:jc w:val="center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>Percent Federal</w:t>
            </w:r>
          </w:p>
        </w:tc>
        <w:tc>
          <w:tcPr>
            <w:tcW w:w="1328" w:type="dxa"/>
          </w:tcPr>
          <w:p w14:paraId="77AF0B44" w14:textId="77777777" w:rsidR="00051A6E" w:rsidRPr="00274775" w:rsidRDefault="00051A6E" w:rsidP="008A535F">
            <w:pPr>
              <w:tabs>
                <w:tab w:val="center" w:pos="4680"/>
              </w:tabs>
              <w:jc w:val="both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>Federal</w:t>
            </w:r>
          </w:p>
        </w:tc>
        <w:tc>
          <w:tcPr>
            <w:tcW w:w="1322" w:type="dxa"/>
          </w:tcPr>
          <w:p w14:paraId="11501DDA" w14:textId="77777777" w:rsidR="00051A6E" w:rsidRPr="00274775" w:rsidRDefault="00051A6E" w:rsidP="008A535F">
            <w:pPr>
              <w:tabs>
                <w:tab w:val="center" w:pos="4680"/>
              </w:tabs>
              <w:jc w:val="both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>Local</w:t>
            </w:r>
          </w:p>
        </w:tc>
        <w:tc>
          <w:tcPr>
            <w:tcW w:w="1339" w:type="dxa"/>
          </w:tcPr>
          <w:p w14:paraId="4995E845" w14:textId="77777777" w:rsidR="00051A6E" w:rsidRPr="00274775" w:rsidRDefault="00051A6E" w:rsidP="008A535F">
            <w:pPr>
              <w:tabs>
                <w:tab w:val="center" w:pos="4680"/>
              </w:tabs>
              <w:jc w:val="both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51A6E" w:rsidRPr="00274775" w14:paraId="075010EF" w14:textId="77777777" w:rsidTr="009E3B05">
        <w:tc>
          <w:tcPr>
            <w:tcW w:w="4337" w:type="dxa"/>
          </w:tcPr>
          <w:p w14:paraId="003FA396" w14:textId="1B78BA45" w:rsidR="00051A6E" w:rsidRPr="00274775" w:rsidRDefault="00051A6E" w:rsidP="009E3B05">
            <w:pPr>
              <w:tabs>
                <w:tab w:val="center" w:pos="4680"/>
              </w:tabs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 xml:space="preserve">Articulated Bus 60 Heavy duty </w:t>
            </w:r>
            <w:proofErr w:type="gramStart"/>
            <w:r w:rsidRPr="00274775">
              <w:rPr>
                <w:rFonts w:cs="Arial"/>
                <w:sz w:val="22"/>
                <w:szCs w:val="22"/>
              </w:rPr>
              <w:t xml:space="preserve">Upgrade </w:t>
            </w:r>
            <w:r w:rsidR="009E3B05">
              <w:rPr>
                <w:rFonts w:cs="Arial"/>
                <w:sz w:val="22"/>
                <w:szCs w:val="22"/>
              </w:rPr>
              <w:t xml:space="preserve"> (</w:t>
            </w:r>
            <w:proofErr w:type="gramEnd"/>
            <w:r w:rsidR="009E3B05">
              <w:rPr>
                <w:rFonts w:cs="Arial"/>
                <w:sz w:val="22"/>
                <w:szCs w:val="22"/>
              </w:rPr>
              <w:t>additional funding for artic bus purchase below with Section 5339 funding)</w:t>
            </w:r>
          </w:p>
        </w:tc>
        <w:tc>
          <w:tcPr>
            <w:tcW w:w="1024" w:type="dxa"/>
          </w:tcPr>
          <w:p w14:paraId="24736113" w14:textId="77777777" w:rsidR="00051A6E" w:rsidRPr="00274775" w:rsidRDefault="00051A6E" w:rsidP="004E6550">
            <w:pPr>
              <w:tabs>
                <w:tab w:val="center" w:pos="4680"/>
              </w:tabs>
              <w:jc w:val="center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80%</w:t>
            </w:r>
          </w:p>
        </w:tc>
        <w:tc>
          <w:tcPr>
            <w:tcW w:w="1328" w:type="dxa"/>
          </w:tcPr>
          <w:p w14:paraId="795FD67D" w14:textId="77777777" w:rsidR="00051A6E" w:rsidRPr="00274775" w:rsidRDefault="00051A6E" w:rsidP="004E6550">
            <w:pPr>
              <w:tabs>
                <w:tab w:val="center" w:pos="4680"/>
              </w:tabs>
              <w:jc w:val="right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$225,000</w:t>
            </w:r>
          </w:p>
        </w:tc>
        <w:tc>
          <w:tcPr>
            <w:tcW w:w="1322" w:type="dxa"/>
          </w:tcPr>
          <w:p w14:paraId="6CB477A9" w14:textId="77777777" w:rsidR="00051A6E" w:rsidRPr="00274775" w:rsidRDefault="00051A6E" w:rsidP="004E6550">
            <w:pPr>
              <w:tabs>
                <w:tab w:val="center" w:pos="4680"/>
              </w:tabs>
              <w:jc w:val="right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$56,250</w:t>
            </w:r>
          </w:p>
        </w:tc>
        <w:tc>
          <w:tcPr>
            <w:tcW w:w="1339" w:type="dxa"/>
          </w:tcPr>
          <w:p w14:paraId="625F9125" w14:textId="77777777" w:rsidR="00051A6E" w:rsidRPr="00274775" w:rsidRDefault="00051A6E" w:rsidP="004E6550">
            <w:pPr>
              <w:tabs>
                <w:tab w:val="center" w:pos="4680"/>
              </w:tabs>
              <w:jc w:val="right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$281,250</w:t>
            </w:r>
          </w:p>
        </w:tc>
      </w:tr>
      <w:tr w:rsidR="009D40F7" w:rsidRPr="00274775" w14:paraId="5F926A72" w14:textId="77777777" w:rsidTr="009E3B05">
        <w:trPr>
          <w:trHeight w:val="422"/>
        </w:trPr>
        <w:tc>
          <w:tcPr>
            <w:tcW w:w="4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49B71" w14:textId="7D3AE5A5" w:rsidR="009D40F7" w:rsidRPr="00274775" w:rsidRDefault="009D40F7" w:rsidP="004E6550">
            <w:pPr>
              <w:tabs>
                <w:tab w:val="center" w:pos="468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sz w:val="22"/>
                <w:szCs w:val="22"/>
              </w:rPr>
              <w:t>STBG Flex Total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C06F5" w14:textId="77777777" w:rsidR="009D40F7" w:rsidRPr="00274775" w:rsidRDefault="009D40F7" w:rsidP="004E6550">
            <w:pPr>
              <w:tabs>
                <w:tab w:val="center" w:pos="4680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3B4BA" w14:textId="006784A4" w:rsidR="009D40F7" w:rsidRPr="00274775" w:rsidRDefault="009D40F7" w:rsidP="004E6550">
            <w:pPr>
              <w:tabs>
                <w:tab w:val="center" w:pos="468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sz w:val="22"/>
                <w:szCs w:val="22"/>
              </w:rPr>
              <w:t>$225,000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9279A" w14:textId="20CA1F62" w:rsidR="009D40F7" w:rsidRPr="00274775" w:rsidRDefault="009D40F7" w:rsidP="004E6550">
            <w:pPr>
              <w:tabs>
                <w:tab w:val="center" w:pos="468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sz w:val="22"/>
                <w:szCs w:val="22"/>
              </w:rPr>
              <w:t>$56,250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1053A" w14:textId="43419FE9" w:rsidR="009D40F7" w:rsidRPr="00274775" w:rsidRDefault="009D40F7" w:rsidP="004E6550">
            <w:pPr>
              <w:tabs>
                <w:tab w:val="center" w:pos="468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>$281,250</w:t>
            </w:r>
          </w:p>
        </w:tc>
      </w:tr>
    </w:tbl>
    <w:p w14:paraId="4AECB141" w14:textId="24AE5668" w:rsidR="009D40F7" w:rsidRPr="00274775" w:rsidRDefault="009D40F7" w:rsidP="00A202F0">
      <w:pPr>
        <w:tabs>
          <w:tab w:val="center" w:pos="4680"/>
        </w:tabs>
        <w:jc w:val="both"/>
        <w:rPr>
          <w:rFonts w:cs="Arial"/>
          <w:sz w:val="22"/>
          <w:szCs w:val="22"/>
        </w:rPr>
      </w:pPr>
    </w:p>
    <w:p w14:paraId="4F358888" w14:textId="77777777" w:rsidR="009D40F7" w:rsidRPr="00274775" w:rsidRDefault="009D40F7" w:rsidP="00A202F0">
      <w:pPr>
        <w:tabs>
          <w:tab w:val="center" w:pos="4680"/>
        </w:tabs>
        <w:jc w:val="both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5"/>
        <w:gridCol w:w="1024"/>
        <w:gridCol w:w="1338"/>
        <w:gridCol w:w="1334"/>
        <w:gridCol w:w="1349"/>
      </w:tblGrid>
      <w:tr w:rsidR="00051A6E" w:rsidRPr="00274775" w14:paraId="62B7B44C" w14:textId="77777777" w:rsidTr="004118B7">
        <w:tc>
          <w:tcPr>
            <w:tcW w:w="4305" w:type="dxa"/>
            <w:tcBorders>
              <w:bottom w:val="single" w:sz="4" w:space="0" w:color="auto"/>
            </w:tcBorders>
          </w:tcPr>
          <w:p w14:paraId="332BEF95" w14:textId="2316B880" w:rsidR="00051A6E" w:rsidRPr="00274775" w:rsidRDefault="00B85DCD" w:rsidP="00051A6E">
            <w:pPr>
              <w:tabs>
                <w:tab w:val="center" w:pos="4680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FFY2021 </w:t>
            </w:r>
            <w:r w:rsidR="00051A6E" w:rsidRPr="00274775">
              <w:rPr>
                <w:rFonts w:cs="Arial"/>
                <w:b/>
                <w:bCs/>
                <w:sz w:val="22"/>
                <w:szCs w:val="22"/>
              </w:rPr>
              <w:t>Section 5339 Discretionary Funding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3792FDBF" w14:textId="77777777" w:rsidR="00051A6E" w:rsidRPr="00274775" w:rsidRDefault="00051A6E" w:rsidP="004E6550">
            <w:pPr>
              <w:tabs>
                <w:tab w:val="center" w:pos="468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>Percent Federal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1D1D6154" w14:textId="77777777" w:rsidR="00051A6E" w:rsidRPr="00274775" w:rsidRDefault="00051A6E" w:rsidP="008A535F">
            <w:pPr>
              <w:tabs>
                <w:tab w:val="center" w:pos="468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>Federal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0B2B9E4C" w14:textId="77777777" w:rsidR="00051A6E" w:rsidRPr="00274775" w:rsidRDefault="00051A6E" w:rsidP="008A535F">
            <w:pPr>
              <w:tabs>
                <w:tab w:val="center" w:pos="468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>Local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236487BA" w14:textId="77777777" w:rsidR="00051A6E" w:rsidRPr="00274775" w:rsidRDefault="00051A6E" w:rsidP="008A535F">
            <w:pPr>
              <w:tabs>
                <w:tab w:val="center" w:pos="468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>Total</w:t>
            </w:r>
          </w:p>
        </w:tc>
      </w:tr>
      <w:tr w:rsidR="00051A6E" w:rsidRPr="00274775" w14:paraId="2741C6C2" w14:textId="77777777" w:rsidTr="00316D6A">
        <w:tc>
          <w:tcPr>
            <w:tcW w:w="4305" w:type="dxa"/>
            <w:tcBorders>
              <w:bottom w:val="single" w:sz="4" w:space="0" w:color="auto"/>
            </w:tcBorders>
          </w:tcPr>
          <w:p w14:paraId="7E5359D2" w14:textId="34070AEA" w:rsidR="00051A6E" w:rsidRPr="00274775" w:rsidRDefault="00051A6E" w:rsidP="009E3B05">
            <w:pPr>
              <w:tabs>
                <w:tab w:val="center" w:pos="4680"/>
              </w:tabs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 xml:space="preserve">Battery Electric Buses: </w:t>
            </w:r>
            <w:r w:rsidRPr="00274775">
              <w:rPr>
                <w:rFonts w:cs="Arial"/>
                <w:sz w:val="22"/>
                <w:szCs w:val="22"/>
              </w:rPr>
              <w:br/>
              <w:t xml:space="preserve">40’ Heavy duty (3) 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5EA9BE0E" w14:textId="4B5B495C" w:rsidR="00051A6E" w:rsidRPr="00274775" w:rsidRDefault="00051A6E" w:rsidP="004E6550">
            <w:pPr>
              <w:tabs>
                <w:tab w:val="center" w:pos="4680"/>
              </w:tabs>
              <w:jc w:val="center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85%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0ED072A" w14:textId="1F835034" w:rsidR="00051A6E" w:rsidRPr="00274775" w:rsidRDefault="00051A6E" w:rsidP="004E6550">
            <w:pPr>
              <w:tabs>
                <w:tab w:val="center" w:pos="4680"/>
              </w:tabs>
              <w:jc w:val="right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$2,218,500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10389533" w14:textId="5E50BA17" w:rsidR="00051A6E" w:rsidRPr="00274775" w:rsidRDefault="00051A6E" w:rsidP="004E6550">
            <w:pPr>
              <w:tabs>
                <w:tab w:val="center" w:pos="4680"/>
              </w:tabs>
              <w:jc w:val="right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$391,500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65C08F2E" w14:textId="1DC88C3F" w:rsidR="00051A6E" w:rsidRPr="00274775" w:rsidRDefault="00051A6E" w:rsidP="004E6550">
            <w:pPr>
              <w:tabs>
                <w:tab w:val="center" w:pos="4680"/>
              </w:tabs>
              <w:jc w:val="right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$2,610,000</w:t>
            </w:r>
          </w:p>
        </w:tc>
      </w:tr>
      <w:tr w:rsidR="00051A6E" w:rsidRPr="00274775" w14:paraId="57CFB4E9" w14:textId="77777777" w:rsidTr="00223CE6">
        <w:tc>
          <w:tcPr>
            <w:tcW w:w="4305" w:type="dxa"/>
            <w:tcBorders>
              <w:bottom w:val="single" w:sz="4" w:space="0" w:color="auto"/>
            </w:tcBorders>
          </w:tcPr>
          <w:p w14:paraId="5E6738D4" w14:textId="0D3A7C97" w:rsidR="00051A6E" w:rsidRPr="00274775" w:rsidRDefault="00051A6E" w:rsidP="009E3B05">
            <w:pPr>
              <w:tabs>
                <w:tab w:val="center" w:pos="4680"/>
              </w:tabs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 xml:space="preserve">Articulated Buses: 60 Heavy duty (2) 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38FC125B" w14:textId="4A4D6D0E" w:rsidR="00051A6E" w:rsidRPr="00274775" w:rsidRDefault="00051A6E" w:rsidP="004E6550">
            <w:pPr>
              <w:tabs>
                <w:tab w:val="center" w:pos="4680"/>
              </w:tabs>
              <w:jc w:val="center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85%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958F1C5" w14:textId="7B69A4B2" w:rsidR="00051A6E" w:rsidRPr="00274775" w:rsidRDefault="00051A6E" w:rsidP="004E6550">
            <w:pPr>
              <w:tabs>
                <w:tab w:val="center" w:pos="4680"/>
              </w:tabs>
              <w:jc w:val="right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$966,874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14:paraId="243FDBB3" w14:textId="132ADCDB" w:rsidR="00051A6E" w:rsidRPr="00274775" w:rsidRDefault="00051A6E" w:rsidP="004E6550">
            <w:pPr>
              <w:tabs>
                <w:tab w:val="center" w:pos="4680"/>
              </w:tabs>
              <w:jc w:val="right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$170,626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40DC204B" w14:textId="05C5D50C" w:rsidR="00051A6E" w:rsidRPr="00274775" w:rsidRDefault="00051A6E" w:rsidP="004E6550">
            <w:pPr>
              <w:tabs>
                <w:tab w:val="center" w:pos="4680"/>
              </w:tabs>
              <w:jc w:val="right"/>
              <w:rPr>
                <w:rFonts w:cs="Arial"/>
                <w:sz w:val="22"/>
                <w:szCs w:val="22"/>
              </w:rPr>
            </w:pPr>
            <w:r w:rsidRPr="00274775">
              <w:rPr>
                <w:rFonts w:cs="Arial"/>
                <w:sz w:val="22"/>
                <w:szCs w:val="22"/>
              </w:rPr>
              <w:t>$1,137,500</w:t>
            </w:r>
          </w:p>
        </w:tc>
      </w:tr>
      <w:tr w:rsidR="009D40F7" w:rsidRPr="00274775" w14:paraId="6805D307" w14:textId="77777777" w:rsidTr="00C83328">
        <w:tc>
          <w:tcPr>
            <w:tcW w:w="4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16EE3" w14:textId="4700FA8D" w:rsidR="009D40F7" w:rsidRPr="00274775" w:rsidRDefault="009D40F7" w:rsidP="004E6550">
            <w:pPr>
              <w:tabs>
                <w:tab w:val="center" w:pos="468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 xml:space="preserve">Section 5339 </w:t>
            </w:r>
            <w:r w:rsidR="00051A6E">
              <w:rPr>
                <w:rFonts w:cs="Arial"/>
                <w:b/>
                <w:bCs/>
                <w:sz w:val="22"/>
                <w:szCs w:val="22"/>
              </w:rPr>
              <w:t xml:space="preserve">Discretionary </w:t>
            </w:r>
            <w:r w:rsidRPr="00274775">
              <w:rPr>
                <w:rFonts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67C911" w14:textId="77777777" w:rsidR="009D40F7" w:rsidRPr="00274775" w:rsidRDefault="009D40F7" w:rsidP="004E6550">
            <w:pPr>
              <w:tabs>
                <w:tab w:val="center" w:pos="4680"/>
              </w:tabs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95968" w14:textId="188C7D6B" w:rsidR="009D40F7" w:rsidRPr="00274775" w:rsidRDefault="009D40F7" w:rsidP="004E6550">
            <w:pPr>
              <w:tabs>
                <w:tab w:val="center" w:pos="468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sz w:val="22"/>
                <w:szCs w:val="22"/>
              </w:rPr>
              <w:t>$3,185,374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7C884" w14:textId="138DAC14" w:rsidR="009D40F7" w:rsidRPr="00274775" w:rsidRDefault="009D40F7" w:rsidP="004E6550">
            <w:pPr>
              <w:tabs>
                <w:tab w:val="center" w:pos="468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sz w:val="22"/>
                <w:szCs w:val="22"/>
              </w:rPr>
              <w:t>$562,126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452B6" w14:textId="752A907B" w:rsidR="009D40F7" w:rsidRPr="00274775" w:rsidRDefault="009D40F7" w:rsidP="004E6550">
            <w:pPr>
              <w:tabs>
                <w:tab w:val="center" w:pos="468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274775">
              <w:rPr>
                <w:rFonts w:cs="Arial"/>
                <w:b/>
                <w:bCs/>
                <w:sz w:val="22"/>
                <w:szCs w:val="22"/>
              </w:rPr>
              <w:t>$</w:t>
            </w:r>
            <w:r w:rsidR="004E6550" w:rsidRPr="00274775">
              <w:rPr>
                <w:rFonts w:cs="Arial"/>
                <w:b/>
                <w:bCs/>
                <w:sz w:val="22"/>
                <w:szCs w:val="22"/>
              </w:rPr>
              <w:t>3,747,500</w:t>
            </w:r>
          </w:p>
        </w:tc>
      </w:tr>
    </w:tbl>
    <w:p w14:paraId="491B38C6" w14:textId="1C214189" w:rsidR="003A6DBA" w:rsidRDefault="003A6DBA" w:rsidP="00A202F0">
      <w:pPr>
        <w:tabs>
          <w:tab w:val="center" w:pos="4680"/>
        </w:tabs>
        <w:jc w:val="both"/>
        <w:rPr>
          <w:rFonts w:cs="Arial"/>
          <w:sz w:val="22"/>
          <w:szCs w:val="22"/>
        </w:rPr>
      </w:pPr>
    </w:p>
    <w:p w14:paraId="42DBDDB7" w14:textId="07D5911F" w:rsidR="00BD0F7A" w:rsidRDefault="00BD0F7A" w:rsidP="00A202F0">
      <w:pPr>
        <w:tabs>
          <w:tab w:val="center" w:pos="4680"/>
        </w:tabs>
        <w:jc w:val="both"/>
        <w:rPr>
          <w:rFonts w:cs="Arial"/>
          <w:sz w:val="22"/>
          <w:szCs w:val="22"/>
        </w:rPr>
      </w:pPr>
    </w:p>
    <w:p w14:paraId="45F7C88A" w14:textId="24D4FAB3" w:rsidR="00BD0F7A" w:rsidRPr="00BD0F7A" w:rsidRDefault="00BD0F7A" w:rsidP="00BD0F7A">
      <w:pPr>
        <w:pStyle w:val="Heading4"/>
        <w:rPr>
          <w:rFonts w:ascii="Arial" w:hAnsi="Arial" w:cs="Arial"/>
          <w:b w:val="0"/>
          <w:sz w:val="22"/>
          <w:szCs w:val="22"/>
        </w:rPr>
      </w:pPr>
      <w:r w:rsidRPr="00BD0F7A">
        <w:rPr>
          <w:rFonts w:ascii="Arial" w:hAnsi="Arial" w:cs="Arial"/>
          <w:b w:val="0"/>
          <w:sz w:val="22"/>
          <w:szCs w:val="22"/>
        </w:rPr>
        <w:t xml:space="preserve">The descriptions to these </w:t>
      </w:r>
      <w:r>
        <w:rPr>
          <w:rFonts w:ascii="Arial" w:hAnsi="Arial" w:cs="Arial"/>
          <w:b w:val="0"/>
          <w:sz w:val="22"/>
          <w:szCs w:val="22"/>
        </w:rPr>
        <w:t xml:space="preserve">above </w:t>
      </w:r>
      <w:r w:rsidRPr="00BD0F7A">
        <w:rPr>
          <w:rFonts w:ascii="Arial" w:hAnsi="Arial" w:cs="Arial"/>
          <w:b w:val="0"/>
          <w:sz w:val="22"/>
          <w:szCs w:val="22"/>
        </w:rPr>
        <w:t>projects are listed on the following page in detail.</w:t>
      </w:r>
    </w:p>
    <w:p w14:paraId="272D0B5C" w14:textId="54AC7F80" w:rsidR="00BD0F7A" w:rsidRDefault="00BD0F7A" w:rsidP="00A202F0">
      <w:pPr>
        <w:tabs>
          <w:tab w:val="center" w:pos="4680"/>
        </w:tabs>
        <w:jc w:val="both"/>
        <w:rPr>
          <w:rFonts w:cs="Arial"/>
          <w:sz w:val="22"/>
          <w:szCs w:val="22"/>
        </w:rPr>
      </w:pPr>
    </w:p>
    <w:p w14:paraId="78A421AC" w14:textId="16818204" w:rsidR="00BD0F7A" w:rsidRDefault="00BD0F7A" w:rsidP="00A202F0">
      <w:pPr>
        <w:tabs>
          <w:tab w:val="center" w:pos="4680"/>
        </w:tabs>
        <w:jc w:val="both"/>
        <w:rPr>
          <w:rFonts w:cs="Arial"/>
          <w:sz w:val="22"/>
          <w:szCs w:val="22"/>
        </w:rPr>
      </w:pPr>
    </w:p>
    <w:p w14:paraId="01659505" w14:textId="78C7BFDE" w:rsidR="00BD0F7A" w:rsidRDefault="00BD0F7A" w:rsidP="00A202F0">
      <w:pPr>
        <w:tabs>
          <w:tab w:val="center" w:pos="4680"/>
        </w:tabs>
        <w:jc w:val="both"/>
        <w:rPr>
          <w:rFonts w:cs="Arial"/>
          <w:sz w:val="22"/>
          <w:szCs w:val="22"/>
        </w:rPr>
      </w:pPr>
    </w:p>
    <w:p w14:paraId="22189E86" w14:textId="77777777" w:rsidR="00BD0F7A" w:rsidRPr="00274775" w:rsidRDefault="00BD0F7A" w:rsidP="00A202F0">
      <w:pPr>
        <w:tabs>
          <w:tab w:val="center" w:pos="4680"/>
        </w:tabs>
        <w:jc w:val="both"/>
        <w:rPr>
          <w:rFonts w:cs="Arial"/>
          <w:sz w:val="22"/>
          <w:szCs w:val="22"/>
        </w:rPr>
      </w:pPr>
    </w:p>
    <w:p w14:paraId="46287E68" w14:textId="77777777" w:rsidR="00BD0F7A" w:rsidRDefault="00BD0F7A" w:rsidP="00345457">
      <w:pPr>
        <w:pStyle w:val="Heading4"/>
        <w:jc w:val="center"/>
        <w:rPr>
          <w:rFonts w:ascii="Arial" w:hAnsi="Arial" w:cs="Arial"/>
          <w:sz w:val="22"/>
          <w:szCs w:val="22"/>
        </w:rPr>
      </w:pPr>
      <w:bookmarkStart w:id="0" w:name="_Hlk63862531"/>
    </w:p>
    <w:p w14:paraId="05160064" w14:textId="12118BAF" w:rsidR="00534AD5" w:rsidRPr="00274775" w:rsidRDefault="00534AD5" w:rsidP="00345457">
      <w:pPr>
        <w:pStyle w:val="Heading4"/>
        <w:jc w:val="center"/>
        <w:rPr>
          <w:rFonts w:ascii="Arial" w:hAnsi="Arial" w:cs="Arial"/>
          <w:sz w:val="22"/>
          <w:szCs w:val="22"/>
        </w:rPr>
      </w:pPr>
      <w:r w:rsidRPr="00274775">
        <w:rPr>
          <w:rFonts w:ascii="Arial" w:hAnsi="Arial" w:cs="Arial"/>
          <w:sz w:val="22"/>
          <w:szCs w:val="22"/>
        </w:rPr>
        <w:t>Project</w:t>
      </w:r>
      <w:r w:rsidR="00C035C7" w:rsidRPr="00274775">
        <w:rPr>
          <w:rFonts w:ascii="Arial" w:hAnsi="Arial" w:cs="Arial"/>
          <w:sz w:val="22"/>
          <w:szCs w:val="22"/>
        </w:rPr>
        <w:t>(s)</w:t>
      </w:r>
      <w:r w:rsidRPr="00274775">
        <w:rPr>
          <w:rFonts w:ascii="Arial" w:hAnsi="Arial" w:cs="Arial"/>
          <w:sz w:val="22"/>
          <w:szCs w:val="22"/>
        </w:rPr>
        <w:t xml:space="preserve"> Description</w:t>
      </w:r>
    </w:p>
    <w:p w14:paraId="676ABB78" w14:textId="75389DB8" w:rsidR="00534AD5" w:rsidRPr="00274775" w:rsidRDefault="00345457" w:rsidP="00345457">
      <w:pPr>
        <w:pStyle w:val="Heading4"/>
        <w:rPr>
          <w:rFonts w:ascii="Arial" w:hAnsi="Arial" w:cs="Arial"/>
          <w:b w:val="0"/>
          <w:bCs w:val="0"/>
          <w:sz w:val="22"/>
          <w:szCs w:val="22"/>
        </w:rPr>
      </w:pPr>
      <w:r w:rsidRPr="00274775">
        <w:rPr>
          <w:rFonts w:ascii="Arial" w:hAnsi="Arial" w:cs="Arial"/>
          <w:sz w:val="22"/>
          <w:szCs w:val="22"/>
        </w:rPr>
        <w:t>General Operating Assistance</w:t>
      </w:r>
      <w:r w:rsidR="009D40F7" w:rsidRPr="00274775">
        <w:rPr>
          <w:rFonts w:ascii="Arial" w:hAnsi="Arial" w:cs="Arial"/>
          <w:sz w:val="22"/>
          <w:szCs w:val="22"/>
        </w:rPr>
        <w:t xml:space="preserve"> (Section 5307 Funding)</w:t>
      </w:r>
      <w:r w:rsidRPr="00274775">
        <w:rPr>
          <w:rFonts w:ascii="Arial" w:hAnsi="Arial" w:cs="Arial"/>
          <w:sz w:val="22"/>
          <w:szCs w:val="22"/>
        </w:rPr>
        <w:t>:</w:t>
      </w:r>
      <w:r w:rsidRPr="0027477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34AD5" w:rsidRPr="00274775">
        <w:rPr>
          <w:rFonts w:ascii="Arial" w:hAnsi="Arial" w:cs="Arial"/>
          <w:b w:val="0"/>
          <w:bCs w:val="0"/>
          <w:sz w:val="22"/>
          <w:szCs w:val="22"/>
        </w:rPr>
        <w:t xml:space="preserve">General Operating Assistance funding supports the day-to-day transit operations </w:t>
      </w:r>
      <w:r w:rsidR="005D2614" w:rsidRPr="00274775">
        <w:rPr>
          <w:rFonts w:ascii="Arial" w:hAnsi="Arial" w:cs="Arial"/>
          <w:b w:val="0"/>
          <w:bCs w:val="0"/>
          <w:sz w:val="22"/>
          <w:szCs w:val="22"/>
        </w:rPr>
        <w:t>to be</w:t>
      </w:r>
      <w:r w:rsidR="00534AD5" w:rsidRPr="00274775">
        <w:rPr>
          <w:rFonts w:ascii="Arial" w:hAnsi="Arial" w:cs="Arial"/>
          <w:b w:val="0"/>
          <w:bCs w:val="0"/>
          <w:sz w:val="22"/>
          <w:szCs w:val="22"/>
        </w:rPr>
        <w:t xml:space="preserve"> applied </w:t>
      </w:r>
      <w:r w:rsidR="00BD0F7A">
        <w:rPr>
          <w:rFonts w:ascii="Arial" w:hAnsi="Arial" w:cs="Arial"/>
          <w:b w:val="0"/>
          <w:bCs w:val="0"/>
          <w:sz w:val="22"/>
          <w:szCs w:val="22"/>
        </w:rPr>
        <w:t>to reimburse CyRide’s</w:t>
      </w:r>
      <w:r w:rsidR="005D2614" w:rsidRPr="00274775">
        <w:rPr>
          <w:rFonts w:ascii="Arial" w:hAnsi="Arial" w:cs="Arial"/>
          <w:b w:val="0"/>
          <w:bCs w:val="0"/>
          <w:sz w:val="22"/>
          <w:szCs w:val="22"/>
        </w:rPr>
        <w:t xml:space="preserve"> employee</w:t>
      </w:r>
      <w:r w:rsidR="00534AD5" w:rsidRPr="00274775">
        <w:rPr>
          <w:rFonts w:ascii="Arial" w:hAnsi="Arial" w:cs="Arial"/>
          <w:b w:val="0"/>
          <w:bCs w:val="0"/>
          <w:sz w:val="22"/>
          <w:szCs w:val="22"/>
        </w:rPr>
        <w:t xml:space="preserve"> payroll </w:t>
      </w:r>
      <w:r w:rsidR="005D2614" w:rsidRPr="00274775">
        <w:rPr>
          <w:rFonts w:ascii="Arial" w:hAnsi="Arial" w:cs="Arial"/>
          <w:b w:val="0"/>
          <w:bCs w:val="0"/>
          <w:sz w:val="22"/>
          <w:szCs w:val="22"/>
        </w:rPr>
        <w:t>(</w:t>
      </w:r>
      <w:r w:rsidR="00534AD5" w:rsidRPr="00274775">
        <w:rPr>
          <w:rFonts w:ascii="Arial" w:hAnsi="Arial" w:cs="Arial"/>
          <w:b w:val="0"/>
          <w:bCs w:val="0"/>
          <w:sz w:val="22"/>
          <w:szCs w:val="22"/>
        </w:rPr>
        <w:t>driver</w:t>
      </w:r>
      <w:r w:rsidR="0082488D" w:rsidRPr="00274775">
        <w:rPr>
          <w:rFonts w:ascii="Arial" w:hAnsi="Arial" w:cs="Arial"/>
          <w:b w:val="0"/>
          <w:bCs w:val="0"/>
          <w:sz w:val="22"/>
          <w:szCs w:val="22"/>
        </w:rPr>
        <w:t xml:space="preserve">, maintenance, </w:t>
      </w:r>
      <w:r w:rsidR="005D2614" w:rsidRPr="00274775">
        <w:rPr>
          <w:rFonts w:ascii="Arial" w:hAnsi="Arial" w:cs="Arial"/>
          <w:b w:val="0"/>
          <w:bCs w:val="0"/>
          <w:sz w:val="22"/>
          <w:szCs w:val="22"/>
        </w:rPr>
        <w:t xml:space="preserve">training/safety </w:t>
      </w:r>
      <w:r w:rsidR="0082488D" w:rsidRPr="00274775">
        <w:rPr>
          <w:rFonts w:ascii="Arial" w:hAnsi="Arial" w:cs="Arial"/>
          <w:b w:val="0"/>
          <w:bCs w:val="0"/>
          <w:sz w:val="22"/>
          <w:szCs w:val="22"/>
        </w:rPr>
        <w:t xml:space="preserve">&amp; admin </w:t>
      </w:r>
      <w:r w:rsidR="00534AD5" w:rsidRPr="00274775">
        <w:rPr>
          <w:rFonts w:ascii="Arial" w:hAnsi="Arial" w:cs="Arial"/>
          <w:b w:val="0"/>
          <w:bCs w:val="0"/>
          <w:sz w:val="22"/>
          <w:szCs w:val="22"/>
        </w:rPr>
        <w:t xml:space="preserve">wages) </w:t>
      </w:r>
      <w:r w:rsidR="005D2614" w:rsidRPr="00274775">
        <w:rPr>
          <w:rFonts w:ascii="Arial" w:hAnsi="Arial" w:cs="Arial"/>
          <w:b w:val="0"/>
          <w:bCs w:val="0"/>
          <w:sz w:val="22"/>
          <w:szCs w:val="22"/>
        </w:rPr>
        <w:t>and fuel</w:t>
      </w:r>
      <w:r w:rsidR="00BD0F7A">
        <w:rPr>
          <w:rFonts w:ascii="Arial" w:hAnsi="Arial" w:cs="Arial"/>
          <w:b w:val="0"/>
          <w:bCs w:val="0"/>
          <w:sz w:val="22"/>
          <w:szCs w:val="22"/>
        </w:rPr>
        <w:t xml:space="preserve"> expenses. Operating expenses can be reimbursed at 50% with the local funding covering the other 50% of the expense</w:t>
      </w:r>
      <w:r w:rsidR="00534AD5" w:rsidRPr="00274775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FE4FD6" w:rsidRPr="00274775">
        <w:rPr>
          <w:rFonts w:ascii="Arial" w:hAnsi="Arial" w:cs="Arial"/>
          <w:b w:val="0"/>
          <w:bCs w:val="0"/>
          <w:sz w:val="22"/>
          <w:szCs w:val="22"/>
        </w:rPr>
        <w:t xml:space="preserve"> This </w:t>
      </w:r>
      <w:r w:rsidR="00BD0F7A">
        <w:rPr>
          <w:rFonts w:ascii="Arial" w:hAnsi="Arial" w:cs="Arial"/>
          <w:b w:val="0"/>
          <w:bCs w:val="0"/>
          <w:sz w:val="22"/>
          <w:szCs w:val="22"/>
        </w:rPr>
        <w:t xml:space="preserve">$4,135,821 in </w:t>
      </w:r>
      <w:r w:rsidR="00FE4FD6" w:rsidRPr="00274775">
        <w:rPr>
          <w:rFonts w:ascii="Arial" w:hAnsi="Arial" w:cs="Arial"/>
          <w:b w:val="0"/>
          <w:bCs w:val="0"/>
          <w:sz w:val="22"/>
          <w:szCs w:val="22"/>
        </w:rPr>
        <w:t xml:space="preserve">5307 funding is approximately </w:t>
      </w:r>
      <w:r w:rsidR="005D2614" w:rsidRPr="00274775">
        <w:rPr>
          <w:rFonts w:ascii="Arial" w:hAnsi="Arial" w:cs="Arial"/>
          <w:b w:val="0"/>
          <w:bCs w:val="0"/>
          <w:sz w:val="22"/>
          <w:szCs w:val="22"/>
        </w:rPr>
        <w:t>32</w:t>
      </w:r>
      <w:r w:rsidR="00FE4FD6" w:rsidRPr="00274775">
        <w:rPr>
          <w:rFonts w:ascii="Arial" w:hAnsi="Arial" w:cs="Arial"/>
          <w:b w:val="0"/>
          <w:bCs w:val="0"/>
          <w:sz w:val="22"/>
          <w:szCs w:val="22"/>
        </w:rPr>
        <w:t xml:space="preserve">% of </w:t>
      </w:r>
      <w:r w:rsidRPr="00274775">
        <w:rPr>
          <w:rFonts w:ascii="Arial" w:hAnsi="Arial" w:cs="Arial"/>
          <w:b w:val="0"/>
          <w:bCs w:val="0"/>
          <w:sz w:val="22"/>
          <w:szCs w:val="22"/>
        </w:rPr>
        <w:t xml:space="preserve">CyRide’s </w:t>
      </w:r>
      <w:r w:rsidR="00BD0F7A">
        <w:rPr>
          <w:rFonts w:ascii="Arial" w:hAnsi="Arial" w:cs="Arial"/>
          <w:b w:val="0"/>
          <w:bCs w:val="0"/>
          <w:sz w:val="22"/>
          <w:szCs w:val="22"/>
        </w:rPr>
        <w:t xml:space="preserve">annual </w:t>
      </w:r>
      <w:r w:rsidR="009C547E" w:rsidRPr="00274775">
        <w:rPr>
          <w:rFonts w:ascii="Arial" w:hAnsi="Arial" w:cs="Arial"/>
          <w:b w:val="0"/>
          <w:bCs w:val="0"/>
          <w:sz w:val="22"/>
          <w:szCs w:val="22"/>
        </w:rPr>
        <w:t xml:space="preserve">operating </w:t>
      </w:r>
      <w:r w:rsidR="00FE4FD6" w:rsidRPr="00274775">
        <w:rPr>
          <w:rFonts w:ascii="Arial" w:hAnsi="Arial" w:cs="Arial"/>
          <w:b w:val="0"/>
          <w:bCs w:val="0"/>
          <w:sz w:val="22"/>
          <w:szCs w:val="22"/>
        </w:rPr>
        <w:t>budget.</w:t>
      </w:r>
    </w:p>
    <w:p w14:paraId="0EE07A2D" w14:textId="77777777" w:rsidR="009D40F7" w:rsidRPr="00274775" w:rsidRDefault="009D40F7" w:rsidP="009D40F7">
      <w:pPr>
        <w:rPr>
          <w:rFonts w:cs="Arial"/>
          <w:sz w:val="22"/>
          <w:szCs w:val="22"/>
        </w:rPr>
      </w:pPr>
    </w:p>
    <w:bookmarkEnd w:id="0"/>
    <w:p w14:paraId="14891B32" w14:textId="16B4509C" w:rsidR="009D40F7" w:rsidRPr="00274775" w:rsidRDefault="009D40F7" w:rsidP="009D40F7">
      <w:pPr>
        <w:rPr>
          <w:rFonts w:cs="Arial"/>
          <w:sz w:val="22"/>
          <w:szCs w:val="22"/>
        </w:rPr>
      </w:pPr>
      <w:r w:rsidRPr="00274775">
        <w:rPr>
          <w:rFonts w:cs="Arial"/>
          <w:b/>
          <w:iCs/>
          <w:sz w:val="22"/>
          <w:szCs w:val="22"/>
        </w:rPr>
        <w:t xml:space="preserve">Battery Electric 40’ Heavy Duty Bus Replacement (5339 Discretionary Funding):  </w:t>
      </w:r>
      <w:r w:rsidRPr="00274775">
        <w:rPr>
          <w:rFonts w:cs="Arial"/>
          <w:iCs/>
          <w:sz w:val="22"/>
          <w:szCs w:val="22"/>
        </w:rPr>
        <w:t>Three</w:t>
      </w:r>
      <w:r w:rsidRPr="00274775">
        <w:rPr>
          <w:rFonts w:cs="Arial"/>
          <w:b/>
          <w:iCs/>
          <w:sz w:val="22"/>
          <w:szCs w:val="22"/>
        </w:rPr>
        <w:t xml:space="preserve"> </w:t>
      </w:r>
      <w:r w:rsidRPr="00274775">
        <w:rPr>
          <w:rFonts w:cs="Arial"/>
          <w:sz w:val="22"/>
          <w:szCs w:val="22"/>
        </w:rPr>
        <w:t xml:space="preserve">large forty-foot diesel buses have </w:t>
      </w:r>
      <w:r w:rsidR="00BD0F7A">
        <w:rPr>
          <w:rFonts w:cs="Arial"/>
          <w:sz w:val="22"/>
          <w:szCs w:val="22"/>
        </w:rPr>
        <w:t xml:space="preserve">well </w:t>
      </w:r>
      <w:r w:rsidRPr="00274775">
        <w:rPr>
          <w:rFonts w:cs="Arial"/>
          <w:sz w:val="22"/>
          <w:szCs w:val="22"/>
        </w:rPr>
        <w:t xml:space="preserve">exceeded the FTA guidelines for useful life and will be replaced with </w:t>
      </w:r>
      <w:r w:rsidR="00BD0F7A">
        <w:rPr>
          <w:rFonts w:cs="Arial"/>
          <w:sz w:val="22"/>
          <w:szCs w:val="22"/>
        </w:rPr>
        <w:t xml:space="preserve">new </w:t>
      </w:r>
      <w:r w:rsidRPr="00274775">
        <w:rPr>
          <w:rFonts w:cs="Arial"/>
          <w:sz w:val="22"/>
          <w:szCs w:val="22"/>
        </w:rPr>
        <w:t xml:space="preserve">ADA accessible battery electric buses. The buses being replaced are </w:t>
      </w:r>
      <w:r w:rsidR="00AC3D3B">
        <w:rPr>
          <w:rFonts w:cs="Arial"/>
          <w:sz w:val="22"/>
          <w:szCs w:val="22"/>
        </w:rPr>
        <w:t>2005</w:t>
      </w:r>
      <w:r w:rsidRPr="00274775">
        <w:rPr>
          <w:rFonts w:cs="Arial"/>
          <w:sz w:val="22"/>
          <w:szCs w:val="22"/>
        </w:rPr>
        <w:t xml:space="preserve"> Orion Vs that are currently </w:t>
      </w:r>
      <w:r w:rsidR="00AC3D3B">
        <w:rPr>
          <w:rFonts w:cs="Arial"/>
          <w:sz w:val="22"/>
          <w:szCs w:val="22"/>
        </w:rPr>
        <w:t>17</w:t>
      </w:r>
      <w:r w:rsidRPr="00274775">
        <w:rPr>
          <w:rFonts w:cs="Arial"/>
          <w:sz w:val="22"/>
          <w:szCs w:val="22"/>
        </w:rPr>
        <w:t xml:space="preserve"> years old but will be closer to </w:t>
      </w:r>
      <w:r w:rsidR="00AC3D3B">
        <w:rPr>
          <w:rFonts w:cs="Arial"/>
          <w:sz w:val="22"/>
          <w:szCs w:val="22"/>
        </w:rPr>
        <w:t xml:space="preserve">19 </w:t>
      </w:r>
      <w:r w:rsidRPr="00274775">
        <w:rPr>
          <w:rFonts w:cs="Arial"/>
          <w:sz w:val="22"/>
          <w:szCs w:val="22"/>
        </w:rPr>
        <w:t xml:space="preserve">years when the new buses are delivered. Bus </w:t>
      </w:r>
      <w:r w:rsidR="00AC3D3B">
        <w:rPr>
          <w:rFonts w:cs="Arial"/>
          <w:sz w:val="22"/>
          <w:szCs w:val="22"/>
        </w:rPr>
        <w:t xml:space="preserve">identification </w:t>
      </w:r>
      <w:r w:rsidRPr="00274775">
        <w:rPr>
          <w:rFonts w:cs="Arial"/>
          <w:sz w:val="22"/>
          <w:szCs w:val="22"/>
        </w:rPr>
        <w:t xml:space="preserve">numbers </w:t>
      </w:r>
      <w:r w:rsidR="00AC3D3B">
        <w:rPr>
          <w:rFonts w:cs="Arial"/>
          <w:sz w:val="22"/>
          <w:szCs w:val="22"/>
        </w:rPr>
        <w:t xml:space="preserve">being replaced </w:t>
      </w:r>
      <w:r w:rsidRPr="00274775">
        <w:rPr>
          <w:rFonts w:cs="Arial"/>
          <w:sz w:val="22"/>
          <w:szCs w:val="22"/>
        </w:rPr>
        <w:t>are 00</w:t>
      </w:r>
      <w:r w:rsidR="00AC3D3B">
        <w:rPr>
          <w:rFonts w:cs="Arial"/>
          <w:sz w:val="22"/>
          <w:szCs w:val="22"/>
        </w:rPr>
        <w:t>949</w:t>
      </w:r>
      <w:r w:rsidRPr="00274775">
        <w:rPr>
          <w:rFonts w:cs="Arial"/>
          <w:sz w:val="22"/>
          <w:szCs w:val="22"/>
        </w:rPr>
        <w:t>, 00</w:t>
      </w:r>
      <w:r w:rsidR="00AC3D3B">
        <w:rPr>
          <w:rFonts w:cs="Arial"/>
          <w:sz w:val="22"/>
          <w:szCs w:val="22"/>
        </w:rPr>
        <w:t>950</w:t>
      </w:r>
      <w:r w:rsidRPr="00274775">
        <w:rPr>
          <w:rFonts w:cs="Arial"/>
          <w:sz w:val="22"/>
          <w:szCs w:val="22"/>
        </w:rPr>
        <w:t xml:space="preserve"> and 00</w:t>
      </w:r>
      <w:r w:rsidR="00AC3D3B">
        <w:rPr>
          <w:rFonts w:cs="Arial"/>
          <w:sz w:val="22"/>
          <w:szCs w:val="22"/>
        </w:rPr>
        <w:t>952 that have average mileage of 279,228</w:t>
      </w:r>
      <w:r w:rsidRPr="00274775">
        <w:rPr>
          <w:rFonts w:cs="Arial"/>
          <w:sz w:val="22"/>
          <w:szCs w:val="22"/>
        </w:rPr>
        <w:t xml:space="preserve">.  </w:t>
      </w:r>
      <w:r w:rsidR="009E3B05">
        <w:rPr>
          <w:rFonts w:cs="Arial"/>
          <w:sz w:val="22"/>
          <w:szCs w:val="22"/>
        </w:rPr>
        <w:t xml:space="preserve">The budget will allow a total budget of $870,000 per bus for these battery electric bus purchases. </w:t>
      </w:r>
      <w:r w:rsidRPr="00274775">
        <w:rPr>
          <w:rFonts w:cs="Arial"/>
          <w:sz w:val="22"/>
          <w:szCs w:val="22"/>
        </w:rPr>
        <w:t>These</w:t>
      </w:r>
      <w:r w:rsidR="00AC3D3B">
        <w:rPr>
          <w:rFonts w:cs="Arial"/>
          <w:sz w:val="22"/>
          <w:szCs w:val="22"/>
        </w:rPr>
        <w:t xml:space="preserve"> zero emission</w:t>
      </w:r>
      <w:r w:rsidRPr="00274775">
        <w:rPr>
          <w:rFonts w:cs="Arial"/>
          <w:sz w:val="22"/>
          <w:szCs w:val="22"/>
        </w:rPr>
        <w:t xml:space="preserve"> replacements will further CyRide’s efforts throughout the Ames community making it even more sustainable.  </w:t>
      </w:r>
    </w:p>
    <w:p w14:paraId="6AE510D2" w14:textId="77777777" w:rsidR="009D40F7" w:rsidRPr="00274775" w:rsidRDefault="009D40F7" w:rsidP="009D40F7">
      <w:pPr>
        <w:rPr>
          <w:rFonts w:cs="Arial"/>
          <w:sz w:val="22"/>
          <w:szCs w:val="22"/>
        </w:rPr>
      </w:pPr>
    </w:p>
    <w:p w14:paraId="7992E5E1" w14:textId="0A12928A" w:rsidR="00AC3D3B" w:rsidRDefault="006B2F7B" w:rsidP="00AC3D3B">
      <w:pPr>
        <w:rPr>
          <w:rFonts w:cs="Arial"/>
          <w:sz w:val="22"/>
          <w:szCs w:val="22"/>
        </w:rPr>
      </w:pPr>
      <w:r w:rsidRPr="00274775">
        <w:rPr>
          <w:rFonts w:cs="Arial"/>
          <w:b/>
          <w:iCs/>
          <w:sz w:val="22"/>
          <w:szCs w:val="22"/>
        </w:rPr>
        <w:t>Articulated 60’ Heavy Duty Bus Replacement (</w:t>
      </w:r>
      <w:r w:rsidR="009E3B05" w:rsidRPr="00274775">
        <w:rPr>
          <w:rFonts w:cs="Arial"/>
          <w:b/>
          <w:iCs/>
          <w:sz w:val="22"/>
          <w:szCs w:val="22"/>
        </w:rPr>
        <w:t>STBG Flex Funding</w:t>
      </w:r>
      <w:r w:rsidR="009E3B05">
        <w:rPr>
          <w:rFonts w:cs="Arial"/>
          <w:b/>
          <w:iCs/>
          <w:sz w:val="22"/>
          <w:szCs w:val="22"/>
        </w:rPr>
        <w:t xml:space="preserve"> &amp; </w:t>
      </w:r>
      <w:r w:rsidRPr="00274775">
        <w:rPr>
          <w:rFonts w:cs="Arial"/>
          <w:b/>
          <w:iCs/>
          <w:sz w:val="22"/>
          <w:szCs w:val="22"/>
        </w:rPr>
        <w:t xml:space="preserve">5339 Discretionary Funding):  </w:t>
      </w:r>
      <w:r w:rsidR="00AC3D3B">
        <w:rPr>
          <w:rFonts w:cs="Arial"/>
          <w:iCs/>
          <w:sz w:val="22"/>
          <w:szCs w:val="22"/>
        </w:rPr>
        <w:t>Two</w:t>
      </w:r>
      <w:r w:rsidRPr="00274775">
        <w:rPr>
          <w:rFonts w:cs="Arial"/>
          <w:b/>
          <w:iCs/>
          <w:sz w:val="22"/>
          <w:szCs w:val="22"/>
        </w:rPr>
        <w:t xml:space="preserve"> </w:t>
      </w:r>
      <w:r w:rsidRPr="00274775">
        <w:rPr>
          <w:rFonts w:cs="Arial"/>
          <w:sz w:val="22"/>
          <w:szCs w:val="22"/>
        </w:rPr>
        <w:t xml:space="preserve">large forty-foot diesel buses have exceeded the FTA guidelines for useful life and will be replaced with ADA accessible </w:t>
      </w:r>
      <w:r w:rsidR="00AC3D3B">
        <w:rPr>
          <w:rFonts w:cs="Arial"/>
          <w:sz w:val="22"/>
          <w:szCs w:val="22"/>
        </w:rPr>
        <w:t>articulated sixty-foot buses</w:t>
      </w:r>
      <w:r w:rsidRPr="00274775">
        <w:rPr>
          <w:rFonts w:cs="Arial"/>
          <w:sz w:val="22"/>
          <w:szCs w:val="22"/>
        </w:rPr>
        <w:t xml:space="preserve">. The buses being replaced are </w:t>
      </w:r>
      <w:r w:rsidR="00AC3D3B">
        <w:rPr>
          <w:rFonts w:cs="Arial"/>
          <w:sz w:val="22"/>
          <w:szCs w:val="22"/>
        </w:rPr>
        <w:t xml:space="preserve">a 2005 Orion V and a </w:t>
      </w:r>
      <w:r w:rsidRPr="00274775">
        <w:rPr>
          <w:rFonts w:cs="Arial"/>
          <w:sz w:val="22"/>
          <w:szCs w:val="22"/>
        </w:rPr>
        <w:t xml:space="preserve">2006 Orion VII that are currently </w:t>
      </w:r>
      <w:r w:rsidR="00AC3D3B">
        <w:rPr>
          <w:rFonts w:cs="Arial"/>
          <w:sz w:val="22"/>
          <w:szCs w:val="22"/>
        </w:rPr>
        <w:t>16-17</w:t>
      </w:r>
      <w:r w:rsidRPr="00274775">
        <w:rPr>
          <w:rFonts w:cs="Arial"/>
          <w:sz w:val="22"/>
          <w:szCs w:val="22"/>
        </w:rPr>
        <w:t xml:space="preserve"> years old but will be closer to </w:t>
      </w:r>
      <w:r w:rsidR="00AC3D3B">
        <w:rPr>
          <w:rFonts w:cs="Arial"/>
          <w:sz w:val="22"/>
          <w:szCs w:val="22"/>
        </w:rPr>
        <w:t>18-19</w:t>
      </w:r>
      <w:r w:rsidRPr="00274775">
        <w:rPr>
          <w:rFonts w:cs="Arial"/>
          <w:sz w:val="22"/>
          <w:szCs w:val="22"/>
        </w:rPr>
        <w:t xml:space="preserve"> years when the new buses are delivered. </w:t>
      </w:r>
      <w:r w:rsidR="00AC3D3B" w:rsidRPr="00274775">
        <w:rPr>
          <w:rFonts w:cs="Arial"/>
          <w:sz w:val="22"/>
          <w:szCs w:val="22"/>
        </w:rPr>
        <w:t xml:space="preserve">Bus </w:t>
      </w:r>
      <w:r w:rsidR="00AC3D3B">
        <w:rPr>
          <w:rFonts w:cs="Arial"/>
          <w:sz w:val="22"/>
          <w:szCs w:val="22"/>
        </w:rPr>
        <w:t xml:space="preserve">identification </w:t>
      </w:r>
      <w:r w:rsidR="00AC3D3B" w:rsidRPr="00274775">
        <w:rPr>
          <w:rFonts w:cs="Arial"/>
          <w:sz w:val="22"/>
          <w:szCs w:val="22"/>
        </w:rPr>
        <w:t xml:space="preserve">numbers </w:t>
      </w:r>
      <w:r w:rsidR="00AC3D3B">
        <w:rPr>
          <w:rFonts w:cs="Arial"/>
          <w:sz w:val="22"/>
          <w:szCs w:val="22"/>
        </w:rPr>
        <w:t xml:space="preserve">being replaced </w:t>
      </w:r>
      <w:r w:rsidR="00AC3D3B" w:rsidRPr="00274775">
        <w:rPr>
          <w:rFonts w:cs="Arial"/>
          <w:sz w:val="22"/>
          <w:szCs w:val="22"/>
        </w:rPr>
        <w:t xml:space="preserve">are </w:t>
      </w:r>
      <w:r w:rsidR="00AC3D3B">
        <w:rPr>
          <w:rFonts w:cs="Arial"/>
          <w:sz w:val="22"/>
          <w:szCs w:val="22"/>
        </w:rPr>
        <w:t>00951 and 00502 that have average mileage of 305</w:t>
      </w:r>
      <w:r w:rsidR="00B92606">
        <w:rPr>
          <w:rFonts w:cs="Arial"/>
          <w:sz w:val="22"/>
          <w:szCs w:val="22"/>
        </w:rPr>
        <w:t>,</w:t>
      </w:r>
      <w:r w:rsidR="00AC3D3B">
        <w:rPr>
          <w:rFonts w:cs="Arial"/>
          <w:sz w:val="22"/>
          <w:szCs w:val="22"/>
        </w:rPr>
        <w:t>893</w:t>
      </w:r>
      <w:r w:rsidR="00AC3D3B" w:rsidRPr="00274775">
        <w:rPr>
          <w:rFonts w:cs="Arial"/>
          <w:sz w:val="22"/>
          <w:szCs w:val="22"/>
        </w:rPr>
        <w:t xml:space="preserve">.  </w:t>
      </w:r>
      <w:r w:rsidR="009E3B05">
        <w:rPr>
          <w:rFonts w:cs="Arial"/>
          <w:sz w:val="22"/>
          <w:szCs w:val="22"/>
        </w:rPr>
        <w:t xml:space="preserve">FFY2023 STBG flex funding will be added to the FFY2021 Bus &amp; Bus Facilities discretionary Section 5339 funding for articulated buses to allow the full purchase of these buses. An FFY2022 STBG flex funding grant of $281,250 total ($225,000) that is already approved will help complete the purchase.  Overall, the budget will allow a total budget of $850,000 per bus for these articulated buses. </w:t>
      </w:r>
      <w:r w:rsidR="00AC3D3B" w:rsidRPr="00274775">
        <w:rPr>
          <w:rFonts w:cs="Arial"/>
          <w:sz w:val="22"/>
          <w:szCs w:val="22"/>
        </w:rPr>
        <w:t>These</w:t>
      </w:r>
      <w:r w:rsidR="00AC3D3B">
        <w:rPr>
          <w:rFonts w:cs="Arial"/>
          <w:sz w:val="22"/>
          <w:szCs w:val="22"/>
        </w:rPr>
        <w:t xml:space="preserve"> articulated buses will bring CyRide’s total articulated fleet to ten allowing CyRide to operate its #23 Orange route exclusively with </w:t>
      </w:r>
      <w:r w:rsidR="00AC3D3B" w:rsidRPr="00274775">
        <w:rPr>
          <w:rFonts w:cs="Arial"/>
          <w:sz w:val="22"/>
          <w:szCs w:val="22"/>
        </w:rPr>
        <w:t>these</w:t>
      </w:r>
      <w:r w:rsidR="00AC3D3B">
        <w:rPr>
          <w:rFonts w:cs="Arial"/>
          <w:sz w:val="22"/>
          <w:szCs w:val="22"/>
        </w:rPr>
        <w:t xml:space="preserve"> longer buses.  </w:t>
      </w:r>
      <w:bookmarkStart w:id="1" w:name="_GoBack"/>
      <w:r w:rsidR="00AC3D3B">
        <w:rPr>
          <w:rFonts w:cs="Arial"/>
          <w:sz w:val="22"/>
          <w:szCs w:val="22"/>
        </w:rPr>
        <w:t xml:space="preserve">CyRide’s #23 Orange route operates every four minutes and has the largest ridership of any transit route in the state carrying nearly 1.9 million passengers annually.   </w:t>
      </w:r>
    </w:p>
    <w:bookmarkEnd w:id="1"/>
    <w:p w14:paraId="3BA4E163" w14:textId="79B57FFD" w:rsidR="00983C8D" w:rsidRPr="00274775" w:rsidRDefault="00983C8D" w:rsidP="00D06A67">
      <w:pPr>
        <w:rPr>
          <w:rFonts w:cs="Arial"/>
          <w:sz w:val="22"/>
          <w:szCs w:val="22"/>
        </w:rPr>
      </w:pPr>
    </w:p>
    <w:sectPr w:rsidR="00983C8D" w:rsidRPr="00274775" w:rsidSect="00345457">
      <w:pgSz w:w="12240" w:h="15840" w:code="1"/>
      <w:pgMar w:top="1440" w:right="1440" w:bottom="1440" w:left="1440" w:header="720" w:footer="720" w:gutter="0"/>
      <w:paperSrc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66"/>
    <w:rsid w:val="000047ED"/>
    <w:rsid w:val="00024FB1"/>
    <w:rsid w:val="00042559"/>
    <w:rsid w:val="00051A6E"/>
    <w:rsid w:val="00090BFA"/>
    <w:rsid w:val="00091EAA"/>
    <w:rsid w:val="00097F6F"/>
    <w:rsid w:val="000A0006"/>
    <w:rsid w:val="000A3DB3"/>
    <w:rsid w:val="001138B7"/>
    <w:rsid w:val="00135031"/>
    <w:rsid w:val="001470B2"/>
    <w:rsid w:val="001D23D2"/>
    <w:rsid w:val="00206C31"/>
    <w:rsid w:val="00211E21"/>
    <w:rsid w:val="00214CBC"/>
    <w:rsid w:val="002156F5"/>
    <w:rsid w:val="002166C0"/>
    <w:rsid w:val="00241431"/>
    <w:rsid w:val="00244DBF"/>
    <w:rsid w:val="0024641E"/>
    <w:rsid w:val="00274775"/>
    <w:rsid w:val="0028402A"/>
    <w:rsid w:val="002A6D5E"/>
    <w:rsid w:val="002D2A3F"/>
    <w:rsid w:val="002F6A64"/>
    <w:rsid w:val="00316D0D"/>
    <w:rsid w:val="0031706B"/>
    <w:rsid w:val="00323E98"/>
    <w:rsid w:val="00325654"/>
    <w:rsid w:val="00325C29"/>
    <w:rsid w:val="00326D20"/>
    <w:rsid w:val="00345457"/>
    <w:rsid w:val="00370DA3"/>
    <w:rsid w:val="0039438B"/>
    <w:rsid w:val="003A6DBA"/>
    <w:rsid w:val="003A7B94"/>
    <w:rsid w:val="003B18E2"/>
    <w:rsid w:val="003B2487"/>
    <w:rsid w:val="003C25DB"/>
    <w:rsid w:val="003D468C"/>
    <w:rsid w:val="003F01F2"/>
    <w:rsid w:val="003F4F73"/>
    <w:rsid w:val="00401C08"/>
    <w:rsid w:val="00440415"/>
    <w:rsid w:val="004539A9"/>
    <w:rsid w:val="00490B19"/>
    <w:rsid w:val="00491624"/>
    <w:rsid w:val="004B304B"/>
    <w:rsid w:val="004C1C92"/>
    <w:rsid w:val="004E3BE2"/>
    <w:rsid w:val="004E6550"/>
    <w:rsid w:val="00502C65"/>
    <w:rsid w:val="00511A7A"/>
    <w:rsid w:val="00534AD5"/>
    <w:rsid w:val="00573DB2"/>
    <w:rsid w:val="005754A8"/>
    <w:rsid w:val="005C38C1"/>
    <w:rsid w:val="005D2614"/>
    <w:rsid w:val="005F22F1"/>
    <w:rsid w:val="00622B73"/>
    <w:rsid w:val="0064709F"/>
    <w:rsid w:val="006B2F7B"/>
    <w:rsid w:val="006B43FB"/>
    <w:rsid w:val="006C5D91"/>
    <w:rsid w:val="006D0D95"/>
    <w:rsid w:val="006D1E3B"/>
    <w:rsid w:val="00742485"/>
    <w:rsid w:val="007476E2"/>
    <w:rsid w:val="00793F4F"/>
    <w:rsid w:val="007B27D0"/>
    <w:rsid w:val="00815265"/>
    <w:rsid w:val="0082488D"/>
    <w:rsid w:val="00862226"/>
    <w:rsid w:val="00863793"/>
    <w:rsid w:val="00882B79"/>
    <w:rsid w:val="008910E7"/>
    <w:rsid w:val="009008C7"/>
    <w:rsid w:val="00905F56"/>
    <w:rsid w:val="0092798F"/>
    <w:rsid w:val="00936FC6"/>
    <w:rsid w:val="00940658"/>
    <w:rsid w:val="00944C6B"/>
    <w:rsid w:val="00957169"/>
    <w:rsid w:val="0098277F"/>
    <w:rsid w:val="00983C8D"/>
    <w:rsid w:val="009B3B7D"/>
    <w:rsid w:val="009C547E"/>
    <w:rsid w:val="009D40F7"/>
    <w:rsid w:val="009D6797"/>
    <w:rsid w:val="009E3B05"/>
    <w:rsid w:val="009E53B6"/>
    <w:rsid w:val="009E6F61"/>
    <w:rsid w:val="00A15150"/>
    <w:rsid w:val="00A202F0"/>
    <w:rsid w:val="00A25BFD"/>
    <w:rsid w:val="00A35DB0"/>
    <w:rsid w:val="00A764FD"/>
    <w:rsid w:val="00AC3D3B"/>
    <w:rsid w:val="00AC7587"/>
    <w:rsid w:val="00AD1291"/>
    <w:rsid w:val="00B16E66"/>
    <w:rsid w:val="00B23BC2"/>
    <w:rsid w:val="00B34800"/>
    <w:rsid w:val="00B47583"/>
    <w:rsid w:val="00B85DCD"/>
    <w:rsid w:val="00B92606"/>
    <w:rsid w:val="00BD0F7A"/>
    <w:rsid w:val="00C02DDD"/>
    <w:rsid w:val="00C035C7"/>
    <w:rsid w:val="00C11DC7"/>
    <w:rsid w:val="00C62732"/>
    <w:rsid w:val="00C83328"/>
    <w:rsid w:val="00C9647E"/>
    <w:rsid w:val="00CB3CE5"/>
    <w:rsid w:val="00CC2DA3"/>
    <w:rsid w:val="00CE2583"/>
    <w:rsid w:val="00CF59FC"/>
    <w:rsid w:val="00D00506"/>
    <w:rsid w:val="00D06A67"/>
    <w:rsid w:val="00D101E7"/>
    <w:rsid w:val="00D10F91"/>
    <w:rsid w:val="00D16E7F"/>
    <w:rsid w:val="00D42E79"/>
    <w:rsid w:val="00D67570"/>
    <w:rsid w:val="00D91873"/>
    <w:rsid w:val="00D973EC"/>
    <w:rsid w:val="00DA2E92"/>
    <w:rsid w:val="00DA6D06"/>
    <w:rsid w:val="00DF0332"/>
    <w:rsid w:val="00E0523B"/>
    <w:rsid w:val="00E32741"/>
    <w:rsid w:val="00E3492E"/>
    <w:rsid w:val="00EC0883"/>
    <w:rsid w:val="00ED23BF"/>
    <w:rsid w:val="00F457C9"/>
    <w:rsid w:val="00F521DF"/>
    <w:rsid w:val="00F52343"/>
    <w:rsid w:val="00F55455"/>
    <w:rsid w:val="00F72162"/>
    <w:rsid w:val="00F73C81"/>
    <w:rsid w:val="00F9110E"/>
    <w:rsid w:val="00FB4437"/>
    <w:rsid w:val="00FB6601"/>
    <w:rsid w:val="00FB7E85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DE8C8"/>
  <w15:chartTrackingRefBased/>
  <w15:docId w15:val="{42C30819-C10E-4D18-A129-6C033C46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4C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" w:hAnsi="Helv"/>
      <w:b/>
      <w:snapToGrid w:val="0"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color w:val="00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" w:hAnsi="Helv"/>
      <w:b/>
      <w:bCs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3A7B9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pPr>
      <w:ind w:left="835" w:right="-360"/>
      <w:jc w:val="both"/>
    </w:pPr>
    <w:rPr>
      <w:rFonts w:ascii="Times New Roman" w:hAnsi="Times New Roman"/>
    </w:rPr>
  </w:style>
  <w:style w:type="paragraph" w:customStyle="1" w:styleId="Style1">
    <w:name w:val="Style1"/>
    <w:basedOn w:val="Letter"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B16E6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16E66"/>
    <w:rPr>
      <w:sz w:val="16"/>
      <w:szCs w:val="16"/>
    </w:rPr>
  </w:style>
  <w:style w:type="paragraph" w:styleId="CommentText">
    <w:name w:val="annotation text"/>
    <w:basedOn w:val="Normal"/>
    <w:semiHidden/>
    <w:rsid w:val="00B16E66"/>
    <w:rPr>
      <w:sz w:val="20"/>
    </w:rPr>
  </w:style>
  <w:style w:type="paragraph" w:styleId="CommentSubject">
    <w:name w:val="annotation subject"/>
    <w:basedOn w:val="CommentText"/>
    <w:next w:val="CommentText"/>
    <w:semiHidden/>
    <w:rsid w:val="00B16E66"/>
    <w:rPr>
      <w:b/>
      <w:bCs/>
    </w:rPr>
  </w:style>
  <w:style w:type="character" w:styleId="Hyperlink">
    <w:name w:val="Hyperlink"/>
    <w:rsid w:val="00042559"/>
    <w:rPr>
      <w:color w:val="0000FF"/>
      <w:u w:val="single"/>
    </w:rPr>
  </w:style>
  <w:style w:type="character" w:customStyle="1" w:styleId="st">
    <w:name w:val="st"/>
    <w:basedOn w:val="DefaultParagraphFont"/>
    <w:rsid w:val="00502C65"/>
  </w:style>
  <w:style w:type="character" w:styleId="Emphasis">
    <w:name w:val="Emphasis"/>
    <w:uiPriority w:val="20"/>
    <w:qFormat/>
    <w:rsid w:val="00502C65"/>
    <w:rPr>
      <w:i/>
      <w:iCs/>
    </w:rPr>
  </w:style>
  <w:style w:type="character" w:customStyle="1" w:styleId="Heading4Char">
    <w:name w:val="Heading 4 Char"/>
    <w:basedOn w:val="DefaultParagraphFont"/>
    <w:link w:val="Heading4"/>
    <w:rsid w:val="003A7B94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TableGrid">
    <w:name w:val="Table Grid"/>
    <w:basedOn w:val="TableNormal"/>
    <w:rsid w:val="003A7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">
    <w:name w:val="num"/>
    <w:rsid w:val="00326D20"/>
  </w:style>
  <w:style w:type="character" w:customStyle="1" w:styleId="heading">
    <w:name w:val="heading"/>
    <w:rsid w:val="00326D20"/>
  </w:style>
  <w:style w:type="character" w:customStyle="1" w:styleId="chapeau">
    <w:name w:val="chapeau"/>
    <w:rsid w:val="00326D20"/>
  </w:style>
  <w:style w:type="character" w:customStyle="1" w:styleId="text-18">
    <w:name w:val="text-18"/>
    <w:basedOn w:val="DefaultParagraphFont"/>
    <w:rsid w:val="00622B73"/>
  </w:style>
  <w:style w:type="paragraph" w:styleId="NormalWeb">
    <w:name w:val="Normal (Web)"/>
    <w:basedOn w:val="Normal"/>
    <w:uiPriority w:val="99"/>
    <w:unhideWhenUsed/>
    <w:rsid w:val="002F6A6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6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4B89-D029-4CBD-82FD-E2C407DD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City of Ames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subject/>
  <dc:creator>Joanne VanDyke</dc:creator>
  <cp:keywords/>
  <cp:lastModifiedBy>Atwood, Shari</cp:lastModifiedBy>
  <cp:revision>2</cp:revision>
  <cp:lastPrinted>2007-03-26T21:09:00Z</cp:lastPrinted>
  <dcterms:created xsi:type="dcterms:W3CDTF">2022-06-17T19:34:00Z</dcterms:created>
  <dcterms:modified xsi:type="dcterms:W3CDTF">2022-06-17T19:34:00Z</dcterms:modified>
</cp:coreProperties>
</file>